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B5123" w14:textId="67FEBCC1" w:rsidR="00EA22CD" w:rsidRDefault="00EA22CD" w:rsidP="00A8131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ilroy-Regular" w:hAnsi="Gilroy-Regular" w:cs="Calibri"/>
          <w:color w:val="000000" w:themeColor="text1"/>
        </w:rPr>
      </w:pPr>
    </w:p>
    <w:p w14:paraId="4FE0CD44" w14:textId="77777777" w:rsidR="00E04931" w:rsidRDefault="00F76E09" w:rsidP="0039034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ilroy-Regular" w:hAnsi="Gilroy-Regular" w:cs="Calibri"/>
          <w:b/>
          <w:bCs/>
          <w:color w:val="000000" w:themeColor="text1"/>
          <w:sz w:val="32"/>
          <w:szCs w:val="32"/>
        </w:rPr>
      </w:pPr>
      <w:r w:rsidRPr="00E04931">
        <w:rPr>
          <w:rStyle w:val="normaltextrun"/>
          <w:rFonts w:ascii="Gilroy-Regular" w:hAnsi="Gilroy-Regular" w:cs="Calibri"/>
          <w:b/>
          <w:bCs/>
          <w:color w:val="000000" w:themeColor="text1"/>
          <w:sz w:val="32"/>
          <w:szCs w:val="32"/>
        </w:rPr>
        <w:t xml:space="preserve">Abren convocatoria para el VI Premio </w:t>
      </w:r>
    </w:p>
    <w:p w14:paraId="32BAD93A" w14:textId="4BD1EF94" w:rsidR="00F76E09" w:rsidRPr="00E04931" w:rsidRDefault="00F76E09" w:rsidP="0039034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ilroy-Regular" w:hAnsi="Gilroy-Regular" w:cs="Calibri"/>
          <w:b/>
          <w:bCs/>
          <w:color w:val="000000" w:themeColor="text1"/>
          <w:sz w:val="32"/>
          <w:szCs w:val="32"/>
        </w:rPr>
      </w:pPr>
      <w:r w:rsidRPr="00E04931">
        <w:rPr>
          <w:rStyle w:val="normaltextrun"/>
          <w:rFonts w:ascii="Gilroy-Regular" w:hAnsi="Gilroy-Regular" w:cs="Calibri"/>
          <w:b/>
          <w:bCs/>
          <w:color w:val="000000" w:themeColor="text1"/>
          <w:sz w:val="32"/>
          <w:szCs w:val="32"/>
        </w:rPr>
        <w:t>a la Transformación Digital Empresarial</w:t>
      </w:r>
    </w:p>
    <w:p w14:paraId="4D63C136" w14:textId="77777777" w:rsidR="00F76E09" w:rsidRDefault="00F76E09" w:rsidP="00A8131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ilroy-Regular" w:hAnsi="Gilroy-Regular" w:cs="Calibri"/>
          <w:color w:val="000000" w:themeColor="text1"/>
          <w:sz w:val="28"/>
          <w:szCs w:val="28"/>
        </w:rPr>
      </w:pPr>
    </w:p>
    <w:p w14:paraId="3EC2B134" w14:textId="22CDFE64" w:rsidR="00261CDA" w:rsidRDefault="00261CDA" w:rsidP="00261CDA">
      <w:pPr>
        <w:pStyle w:val="Prrafodelista"/>
        <w:numPr>
          <w:ilvl w:val="0"/>
          <w:numId w:val="8"/>
        </w:numPr>
        <w:spacing w:after="0"/>
        <w:jc w:val="both"/>
        <w:rPr>
          <w:rFonts w:cstheme="minorHAnsi"/>
          <w:i/>
          <w:iCs/>
          <w:szCs w:val="21"/>
        </w:rPr>
      </w:pPr>
      <w:r>
        <w:rPr>
          <w:rFonts w:cstheme="minorHAnsi"/>
          <w:i/>
          <w:iCs/>
          <w:szCs w:val="21"/>
        </w:rPr>
        <w:t xml:space="preserve">El Premio es una iniciativa de CINTEL y PwC. La fecha límite para la postulación </w:t>
      </w:r>
      <w:r w:rsidR="002F6189">
        <w:rPr>
          <w:rFonts w:cstheme="minorHAnsi"/>
          <w:i/>
          <w:iCs/>
          <w:szCs w:val="21"/>
        </w:rPr>
        <w:t>es</w:t>
      </w:r>
      <w:r>
        <w:rPr>
          <w:rFonts w:cstheme="minorHAnsi"/>
          <w:i/>
          <w:iCs/>
          <w:szCs w:val="21"/>
        </w:rPr>
        <w:t xml:space="preserve"> el 16 de junio de 2023.</w:t>
      </w:r>
    </w:p>
    <w:p w14:paraId="561D32C5" w14:textId="04EBA7AA" w:rsidR="00F76E09" w:rsidRDefault="00821FAD" w:rsidP="00821FAD">
      <w:pPr>
        <w:pStyle w:val="Prrafodelista"/>
        <w:numPr>
          <w:ilvl w:val="0"/>
          <w:numId w:val="8"/>
        </w:numPr>
        <w:spacing w:after="0"/>
        <w:jc w:val="both"/>
        <w:rPr>
          <w:rFonts w:cstheme="minorHAnsi"/>
          <w:i/>
          <w:iCs/>
          <w:szCs w:val="21"/>
        </w:rPr>
      </w:pPr>
      <w:r>
        <w:rPr>
          <w:rFonts w:cstheme="minorHAnsi"/>
          <w:i/>
          <w:iCs/>
          <w:szCs w:val="21"/>
        </w:rPr>
        <w:t>Los ganadores de la sexta edición de estos reconocimientos</w:t>
      </w:r>
      <w:r w:rsidR="00261CDA">
        <w:rPr>
          <w:rFonts w:cstheme="minorHAnsi"/>
          <w:i/>
          <w:iCs/>
          <w:szCs w:val="21"/>
        </w:rPr>
        <w:t xml:space="preserve"> se </w:t>
      </w:r>
      <w:r w:rsidR="00F76E09">
        <w:rPr>
          <w:rFonts w:cstheme="minorHAnsi"/>
          <w:i/>
          <w:iCs/>
          <w:szCs w:val="21"/>
        </w:rPr>
        <w:t>conocerán en el Congreso Internacional TIC ANDICOM 202</w:t>
      </w:r>
      <w:r w:rsidR="00310A61">
        <w:rPr>
          <w:rFonts w:cstheme="minorHAnsi"/>
          <w:i/>
          <w:iCs/>
          <w:szCs w:val="21"/>
        </w:rPr>
        <w:t>3</w:t>
      </w:r>
      <w:r w:rsidR="00F76E09">
        <w:rPr>
          <w:rFonts w:cstheme="minorHAnsi"/>
          <w:i/>
          <w:iCs/>
          <w:szCs w:val="21"/>
        </w:rPr>
        <w:t xml:space="preserve">, que se realizará </w:t>
      </w:r>
      <w:r w:rsidR="00310A61">
        <w:rPr>
          <w:rFonts w:cstheme="minorHAnsi"/>
          <w:i/>
          <w:iCs/>
          <w:szCs w:val="21"/>
        </w:rPr>
        <w:t>en el Complejo de las Américas, en Cartagena de Indias, Colombia,</w:t>
      </w:r>
      <w:r w:rsidR="00F76E09">
        <w:rPr>
          <w:rFonts w:cstheme="minorHAnsi"/>
          <w:i/>
          <w:iCs/>
          <w:szCs w:val="21"/>
        </w:rPr>
        <w:t xml:space="preserve"> </w:t>
      </w:r>
      <w:r w:rsidR="001529BB">
        <w:rPr>
          <w:rFonts w:cstheme="minorHAnsi"/>
          <w:i/>
          <w:iCs/>
          <w:szCs w:val="21"/>
        </w:rPr>
        <w:t>entre e</w:t>
      </w:r>
      <w:r w:rsidR="00F76E09">
        <w:rPr>
          <w:rFonts w:cstheme="minorHAnsi"/>
          <w:i/>
          <w:iCs/>
          <w:szCs w:val="21"/>
        </w:rPr>
        <w:t xml:space="preserve">l </w:t>
      </w:r>
      <w:r w:rsidR="00310A61">
        <w:rPr>
          <w:rFonts w:cstheme="minorHAnsi"/>
          <w:i/>
          <w:iCs/>
          <w:szCs w:val="21"/>
        </w:rPr>
        <w:t>6</w:t>
      </w:r>
      <w:r w:rsidR="00F76E09">
        <w:rPr>
          <w:rFonts w:cstheme="minorHAnsi"/>
          <w:i/>
          <w:iCs/>
          <w:szCs w:val="21"/>
        </w:rPr>
        <w:t xml:space="preserve"> </w:t>
      </w:r>
      <w:r w:rsidR="001529BB">
        <w:rPr>
          <w:rFonts w:cstheme="minorHAnsi"/>
          <w:i/>
          <w:iCs/>
          <w:szCs w:val="21"/>
        </w:rPr>
        <w:t>y</w:t>
      </w:r>
      <w:r w:rsidR="00F76E09">
        <w:rPr>
          <w:rFonts w:cstheme="minorHAnsi"/>
          <w:i/>
          <w:iCs/>
          <w:szCs w:val="21"/>
        </w:rPr>
        <w:t xml:space="preserve"> </w:t>
      </w:r>
      <w:r w:rsidR="00310A61">
        <w:rPr>
          <w:rFonts w:cstheme="minorHAnsi"/>
          <w:i/>
          <w:iCs/>
          <w:szCs w:val="21"/>
        </w:rPr>
        <w:t>8</w:t>
      </w:r>
      <w:r w:rsidR="00F76E09">
        <w:rPr>
          <w:rFonts w:cstheme="minorHAnsi"/>
          <w:i/>
          <w:iCs/>
          <w:szCs w:val="21"/>
        </w:rPr>
        <w:t xml:space="preserve"> de </w:t>
      </w:r>
      <w:r w:rsidR="00310A61">
        <w:rPr>
          <w:rFonts w:cstheme="minorHAnsi"/>
          <w:i/>
          <w:iCs/>
          <w:szCs w:val="21"/>
        </w:rPr>
        <w:t>septiembr</w:t>
      </w:r>
      <w:r w:rsidR="00F76E09">
        <w:rPr>
          <w:rFonts w:cstheme="minorHAnsi"/>
          <w:i/>
          <w:iCs/>
          <w:szCs w:val="21"/>
        </w:rPr>
        <w:t>e.</w:t>
      </w:r>
    </w:p>
    <w:p w14:paraId="39319C96" w14:textId="09282C52" w:rsidR="00F76E09" w:rsidRDefault="00F76E09" w:rsidP="00F76E09">
      <w:pPr>
        <w:pStyle w:val="Prrafodelista"/>
        <w:numPr>
          <w:ilvl w:val="0"/>
          <w:numId w:val="8"/>
        </w:numPr>
        <w:spacing w:after="0"/>
        <w:jc w:val="both"/>
        <w:rPr>
          <w:rFonts w:cstheme="minorHAnsi"/>
          <w:i/>
          <w:iCs/>
          <w:szCs w:val="21"/>
        </w:rPr>
      </w:pPr>
      <w:r>
        <w:rPr>
          <w:rFonts w:cstheme="minorHAnsi"/>
          <w:i/>
          <w:iCs/>
          <w:szCs w:val="21"/>
        </w:rPr>
        <w:t xml:space="preserve">La distinción se hará </w:t>
      </w:r>
      <w:r w:rsidRPr="00365D19">
        <w:rPr>
          <w:rFonts w:cstheme="minorHAnsi"/>
          <w:i/>
          <w:iCs/>
          <w:szCs w:val="21"/>
        </w:rPr>
        <w:t xml:space="preserve">en </w:t>
      </w:r>
      <w:r w:rsidR="00261CDA">
        <w:rPr>
          <w:rFonts w:cstheme="minorHAnsi"/>
          <w:i/>
          <w:iCs/>
          <w:szCs w:val="21"/>
        </w:rPr>
        <w:t>seis</w:t>
      </w:r>
      <w:r w:rsidRPr="00365D19">
        <w:rPr>
          <w:rFonts w:cstheme="minorHAnsi"/>
          <w:i/>
          <w:iCs/>
          <w:szCs w:val="21"/>
        </w:rPr>
        <w:t xml:space="preserve"> categorías: </w:t>
      </w:r>
      <w:r w:rsidR="00BD5EC6">
        <w:rPr>
          <w:rFonts w:cstheme="minorHAnsi"/>
          <w:i/>
          <w:iCs/>
          <w:szCs w:val="21"/>
        </w:rPr>
        <w:t>Transformación digital en g</w:t>
      </w:r>
      <w:r w:rsidRPr="00365D19">
        <w:rPr>
          <w:rFonts w:cstheme="minorHAnsi"/>
          <w:i/>
          <w:iCs/>
          <w:szCs w:val="21"/>
        </w:rPr>
        <w:t>randes empresas</w:t>
      </w:r>
      <w:r w:rsidR="00261CDA">
        <w:rPr>
          <w:rFonts w:cstheme="minorHAnsi"/>
          <w:i/>
          <w:iCs/>
          <w:szCs w:val="21"/>
        </w:rPr>
        <w:t xml:space="preserve"> desde la estrategia corporativa</w:t>
      </w:r>
      <w:r w:rsidR="00BD5EC6">
        <w:rPr>
          <w:rFonts w:cstheme="minorHAnsi"/>
          <w:i/>
          <w:iCs/>
          <w:szCs w:val="21"/>
        </w:rPr>
        <w:t>;</w:t>
      </w:r>
      <w:r w:rsidRPr="00365D19">
        <w:rPr>
          <w:rFonts w:cstheme="minorHAnsi"/>
          <w:i/>
          <w:iCs/>
          <w:szCs w:val="21"/>
        </w:rPr>
        <w:t xml:space="preserve"> </w:t>
      </w:r>
      <w:r w:rsidR="00F55FD8">
        <w:rPr>
          <w:rFonts w:cstheme="minorHAnsi"/>
          <w:i/>
          <w:iCs/>
          <w:szCs w:val="21"/>
        </w:rPr>
        <w:t>G</w:t>
      </w:r>
      <w:r w:rsidR="00BD5EC6">
        <w:rPr>
          <w:rFonts w:cstheme="minorHAnsi"/>
          <w:i/>
          <w:iCs/>
          <w:szCs w:val="21"/>
        </w:rPr>
        <w:t xml:space="preserve">randes empresas con </w:t>
      </w:r>
      <w:r w:rsidR="00F55FD8">
        <w:rPr>
          <w:rFonts w:cstheme="minorHAnsi"/>
          <w:i/>
          <w:iCs/>
          <w:szCs w:val="21"/>
        </w:rPr>
        <w:t>i</w:t>
      </w:r>
      <w:r w:rsidR="00261CDA">
        <w:rPr>
          <w:rFonts w:cstheme="minorHAnsi"/>
          <w:i/>
          <w:iCs/>
          <w:szCs w:val="21"/>
        </w:rPr>
        <w:t>niciativas específicas</w:t>
      </w:r>
      <w:r w:rsidR="00BD5EC6">
        <w:rPr>
          <w:rFonts w:cstheme="minorHAnsi"/>
          <w:i/>
          <w:iCs/>
          <w:szCs w:val="21"/>
        </w:rPr>
        <w:t xml:space="preserve"> de transformación digital; Transformación Digital en </w:t>
      </w:r>
      <w:r w:rsidR="00BD5EC6" w:rsidRPr="00365D19">
        <w:rPr>
          <w:rFonts w:cstheme="minorHAnsi"/>
          <w:i/>
          <w:iCs/>
          <w:szCs w:val="21"/>
        </w:rPr>
        <w:t>Pymes</w:t>
      </w:r>
      <w:r w:rsidR="00BD5EC6">
        <w:rPr>
          <w:rFonts w:cstheme="minorHAnsi"/>
          <w:i/>
          <w:iCs/>
          <w:szCs w:val="21"/>
        </w:rPr>
        <w:t>;</w:t>
      </w:r>
      <w:r w:rsidR="00BD5EC6" w:rsidRPr="00365D19">
        <w:rPr>
          <w:rFonts w:cstheme="minorHAnsi"/>
          <w:i/>
          <w:iCs/>
          <w:szCs w:val="21"/>
        </w:rPr>
        <w:t xml:space="preserve"> </w:t>
      </w:r>
      <w:r w:rsidR="00BD5EC6">
        <w:rPr>
          <w:rFonts w:cstheme="minorHAnsi"/>
          <w:i/>
          <w:iCs/>
          <w:szCs w:val="21"/>
        </w:rPr>
        <w:t xml:space="preserve">Proyectos de transformación digital con </w:t>
      </w:r>
      <w:r w:rsidR="00F55FD8">
        <w:rPr>
          <w:rFonts w:cstheme="minorHAnsi"/>
          <w:i/>
          <w:iCs/>
          <w:szCs w:val="21"/>
        </w:rPr>
        <w:t>i</w:t>
      </w:r>
      <w:r w:rsidRPr="00365D19">
        <w:rPr>
          <w:rFonts w:cstheme="minorHAnsi"/>
          <w:i/>
          <w:iCs/>
          <w:szCs w:val="21"/>
        </w:rPr>
        <w:t>mpacto social</w:t>
      </w:r>
      <w:r w:rsidR="00BD5EC6">
        <w:rPr>
          <w:rFonts w:cstheme="minorHAnsi"/>
          <w:i/>
          <w:iCs/>
          <w:szCs w:val="21"/>
        </w:rPr>
        <w:t>;</w:t>
      </w:r>
      <w:r w:rsidRPr="00365D19">
        <w:rPr>
          <w:rFonts w:cstheme="minorHAnsi"/>
          <w:i/>
          <w:iCs/>
          <w:szCs w:val="21"/>
        </w:rPr>
        <w:t xml:space="preserve"> Mejor emprendimiento del año, y Soluciones innovadoras que habilitan la transformación digital de las empresas.</w:t>
      </w:r>
    </w:p>
    <w:p w14:paraId="1A898C24" w14:textId="29D20F3B" w:rsidR="00376BD1" w:rsidRDefault="00376BD1" w:rsidP="00A8131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ilroy-Regular" w:hAnsi="Gilroy-Regular" w:cs="Calibri"/>
          <w:i/>
          <w:iCs/>
          <w:color w:val="000000" w:themeColor="text1"/>
        </w:rPr>
      </w:pPr>
    </w:p>
    <w:p w14:paraId="7A9F0F37" w14:textId="232D1B8B" w:rsidR="00376BD1" w:rsidRPr="00376BD1" w:rsidRDefault="00376BD1" w:rsidP="00A8131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ilroy-Regular" w:hAnsi="Gilroy-Regular" w:cs="Calibri"/>
          <w:b/>
          <w:bCs/>
          <w:color w:val="000000" w:themeColor="text1"/>
        </w:rPr>
      </w:pPr>
      <w:r w:rsidRPr="00376BD1">
        <w:rPr>
          <w:rStyle w:val="normaltextrun"/>
          <w:rFonts w:ascii="Gilroy-Regular" w:hAnsi="Gilroy-Regular" w:cs="Calibri"/>
          <w:b/>
          <w:bCs/>
          <w:color w:val="000000" w:themeColor="text1"/>
        </w:rPr>
        <w:t xml:space="preserve">Bogotá D.C., </w:t>
      </w:r>
      <w:r w:rsidR="0025280B">
        <w:rPr>
          <w:rStyle w:val="normaltextrun"/>
          <w:rFonts w:ascii="Gilroy-Regular" w:hAnsi="Gilroy-Regular" w:cs="Calibri"/>
          <w:b/>
          <w:bCs/>
          <w:color w:val="000000" w:themeColor="text1"/>
        </w:rPr>
        <w:t>mayo</w:t>
      </w:r>
      <w:r w:rsidRPr="00376BD1">
        <w:rPr>
          <w:rStyle w:val="normaltextrun"/>
          <w:rFonts w:ascii="Gilroy-Regular" w:hAnsi="Gilroy-Regular" w:cs="Calibri"/>
          <w:b/>
          <w:bCs/>
          <w:color w:val="000000" w:themeColor="text1"/>
        </w:rPr>
        <w:t xml:space="preserve"> de 2023</w:t>
      </w:r>
    </w:p>
    <w:p w14:paraId="2C796C73" w14:textId="563D51B2" w:rsidR="009412F5" w:rsidRDefault="009412F5" w:rsidP="009412F5">
      <w:pPr>
        <w:pStyle w:val="Sinespaciado"/>
        <w:jc w:val="both"/>
        <w:rPr>
          <w:rFonts w:eastAsia="Times New Roman" w:cstheme="minorHAnsi"/>
          <w:color w:val="212121"/>
          <w:lang w:eastAsia="es-CO"/>
        </w:rPr>
      </w:pPr>
      <w:r>
        <w:rPr>
          <w:rFonts w:eastAsia="Times New Roman" w:cstheme="minorHAnsi"/>
          <w:color w:val="212121"/>
          <w:lang w:eastAsia="es-CO"/>
        </w:rPr>
        <w:t>L</w:t>
      </w:r>
      <w:r w:rsidRPr="00204FE3">
        <w:rPr>
          <w:rFonts w:eastAsia="Times New Roman" w:cstheme="minorHAnsi"/>
          <w:color w:val="212121"/>
          <w:lang w:eastAsia="es-CO"/>
        </w:rPr>
        <w:t>as mejores iniciativas y proyectos empresariales que han logrado resultados evidentes y tangibles en el desarrollo de capacidades digitales, enfocadas en mejoras operativas, acercamiento a un cliente más exigente y cambios en modelos de negocio</w:t>
      </w:r>
      <w:r>
        <w:rPr>
          <w:rFonts w:eastAsia="Times New Roman" w:cstheme="minorHAnsi"/>
          <w:color w:val="212121"/>
          <w:lang w:eastAsia="es-CO"/>
        </w:rPr>
        <w:t xml:space="preserve">, serán reconocidas por </w:t>
      </w:r>
      <w:r w:rsidR="002F6189">
        <w:rPr>
          <w:rFonts w:eastAsia="Times New Roman" w:cstheme="minorHAnsi"/>
          <w:color w:val="212121"/>
          <w:lang w:eastAsia="es-CO"/>
        </w:rPr>
        <w:t>sexto</w:t>
      </w:r>
      <w:r>
        <w:rPr>
          <w:rFonts w:eastAsia="Times New Roman" w:cstheme="minorHAnsi"/>
          <w:color w:val="212121"/>
          <w:lang w:eastAsia="es-CO"/>
        </w:rPr>
        <w:t xml:space="preserve"> año consecutivo con el </w:t>
      </w:r>
      <w:r w:rsidRPr="00814B74">
        <w:rPr>
          <w:rFonts w:eastAsia="Times New Roman" w:cstheme="minorHAnsi"/>
          <w:b/>
          <w:bCs/>
          <w:lang w:eastAsia="es-CO"/>
        </w:rPr>
        <w:t>Premio a la Transformación Digital Empresarial.</w:t>
      </w:r>
    </w:p>
    <w:p w14:paraId="49423020" w14:textId="77777777" w:rsidR="009412F5" w:rsidRDefault="009412F5" w:rsidP="009412F5">
      <w:pPr>
        <w:pStyle w:val="Sinespaciado"/>
        <w:jc w:val="both"/>
        <w:rPr>
          <w:rFonts w:eastAsia="Times New Roman" w:cstheme="minorHAnsi"/>
          <w:color w:val="212121"/>
          <w:lang w:eastAsia="es-CO"/>
        </w:rPr>
      </w:pPr>
    </w:p>
    <w:p w14:paraId="529DA1A6" w14:textId="77777777" w:rsidR="00222767" w:rsidRDefault="009412F5" w:rsidP="009412F5">
      <w:pPr>
        <w:pStyle w:val="Sinespaciado"/>
        <w:jc w:val="both"/>
        <w:rPr>
          <w:rFonts w:cstheme="minorHAnsi"/>
        </w:rPr>
      </w:pPr>
      <w:r>
        <w:rPr>
          <w:rFonts w:eastAsia="Times New Roman" w:cstheme="minorHAnsi"/>
          <w:color w:val="212121"/>
          <w:lang w:eastAsia="es-CO"/>
        </w:rPr>
        <w:t xml:space="preserve">Esta </w:t>
      </w:r>
      <w:r w:rsidRPr="006B0AB3">
        <w:rPr>
          <w:rFonts w:eastAsia="Times New Roman" w:cstheme="minorHAnsi"/>
          <w:b/>
          <w:bCs/>
          <w:color w:val="212121"/>
          <w:lang w:eastAsia="es-CO"/>
        </w:rPr>
        <w:t>iniciativa de CINTEL y PwC</w:t>
      </w:r>
      <w:r>
        <w:rPr>
          <w:rFonts w:eastAsia="Times New Roman" w:cstheme="minorHAnsi"/>
          <w:color w:val="212121"/>
          <w:lang w:eastAsia="es-CO"/>
        </w:rPr>
        <w:t xml:space="preserve"> busca reconocer a las empresas colombianas que han logrado </w:t>
      </w:r>
      <w:r>
        <w:rPr>
          <w:rFonts w:cstheme="minorHAnsi"/>
        </w:rPr>
        <w:t xml:space="preserve">cambios sustanciales en sus organizaciones mediante la habilitación de capacidades digitales. </w:t>
      </w:r>
      <w:r w:rsidRPr="00204FE3">
        <w:rPr>
          <w:rFonts w:cstheme="minorHAnsi"/>
        </w:rPr>
        <w:t>La distinción se hará en</w:t>
      </w:r>
      <w:r w:rsidR="002F6189" w:rsidRPr="002F6189">
        <w:rPr>
          <w:rFonts w:cstheme="minorHAnsi"/>
        </w:rPr>
        <w:t xml:space="preserve"> seis categorías: </w:t>
      </w:r>
    </w:p>
    <w:p w14:paraId="70901961" w14:textId="4C2D8A83" w:rsidR="00222767" w:rsidRDefault="00BD5EC6" w:rsidP="00222767">
      <w:pPr>
        <w:pStyle w:val="Sinespaciado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Transformación digital de g</w:t>
      </w:r>
      <w:r w:rsidR="002F6189" w:rsidRPr="002F6189">
        <w:rPr>
          <w:rFonts w:cstheme="minorHAnsi"/>
        </w:rPr>
        <w:t>randes empresas desde la estrategia corporativa</w:t>
      </w:r>
    </w:p>
    <w:p w14:paraId="641929DB" w14:textId="3C26180E" w:rsidR="00BD5EC6" w:rsidRPr="00BD5EC6" w:rsidRDefault="00BD5EC6" w:rsidP="00222767">
      <w:pPr>
        <w:pStyle w:val="Sinespaciado"/>
        <w:numPr>
          <w:ilvl w:val="0"/>
          <w:numId w:val="9"/>
        </w:numPr>
        <w:jc w:val="both"/>
        <w:rPr>
          <w:rFonts w:cstheme="minorHAnsi"/>
        </w:rPr>
      </w:pPr>
      <w:r w:rsidRPr="00515F2D">
        <w:rPr>
          <w:rFonts w:cstheme="minorHAnsi"/>
          <w:szCs w:val="21"/>
        </w:rPr>
        <w:t xml:space="preserve">Grandes empresas con </w:t>
      </w:r>
      <w:r w:rsidR="00C56339">
        <w:rPr>
          <w:rFonts w:cstheme="minorHAnsi"/>
          <w:szCs w:val="21"/>
        </w:rPr>
        <w:t>i</w:t>
      </w:r>
      <w:r w:rsidRPr="00515F2D">
        <w:rPr>
          <w:rFonts w:cstheme="minorHAnsi"/>
          <w:szCs w:val="21"/>
        </w:rPr>
        <w:t>niciativas específicas de transformación digital</w:t>
      </w:r>
    </w:p>
    <w:p w14:paraId="0504A883" w14:textId="33142BEF" w:rsidR="00222767" w:rsidRDefault="00BD5EC6" w:rsidP="00222767">
      <w:pPr>
        <w:pStyle w:val="Sinespaciado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 xml:space="preserve">Transformación digital en </w:t>
      </w:r>
      <w:r w:rsidR="002F6189" w:rsidRPr="002F6189">
        <w:rPr>
          <w:rFonts w:cstheme="minorHAnsi"/>
        </w:rPr>
        <w:t>Pymes</w:t>
      </w:r>
    </w:p>
    <w:p w14:paraId="41466FB7" w14:textId="2A9BEFFB" w:rsidR="00222767" w:rsidRDefault="00BD5EC6" w:rsidP="00222767">
      <w:pPr>
        <w:pStyle w:val="Sinespaciado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Proyectos de transformación digital con i</w:t>
      </w:r>
      <w:r w:rsidR="002F6189" w:rsidRPr="002F6189">
        <w:rPr>
          <w:rFonts w:cstheme="minorHAnsi"/>
        </w:rPr>
        <w:t>mpacto social</w:t>
      </w:r>
    </w:p>
    <w:p w14:paraId="16BADA10" w14:textId="77777777" w:rsidR="00222767" w:rsidRDefault="002F6189" w:rsidP="00222767">
      <w:pPr>
        <w:pStyle w:val="Sinespaciado"/>
        <w:numPr>
          <w:ilvl w:val="0"/>
          <w:numId w:val="9"/>
        </w:numPr>
        <w:jc w:val="both"/>
        <w:rPr>
          <w:rFonts w:cstheme="minorHAnsi"/>
        </w:rPr>
      </w:pPr>
      <w:r w:rsidRPr="002F6189">
        <w:rPr>
          <w:rFonts w:cstheme="minorHAnsi"/>
        </w:rPr>
        <w:t xml:space="preserve">Mejor emprendimiento del año, y </w:t>
      </w:r>
    </w:p>
    <w:p w14:paraId="3F1762CD" w14:textId="01B84EFC" w:rsidR="009412F5" w:rsidRDefault="002F6189" w:rsidP="00222767">
      <w:pPr>
        <w:pStyle w:val="Sinespaciado"/>
        <w:numPr>
          <w:ilvl w:val="0"/>
          <w:numId w:val="9"/>
        </w:numPr>
        <w:jc w:val="both"/>
        <w:rPr>
          <w:rFonts w:cstheme="minorHAnsi"/>
        </w:rPr>
      </w:pPr>
      <w:r w:rsidRPr="002F6189">
        <w:rPr>
          <w:rFonts w:cstheme="minorHAnsi"/>
        </w:rPr>
        <w:t>Soluciones innovadoras que habilitan la transformación digital de las empresas.</w:t>
      </w:r>
    </w:p>
    <w:p w14:paraId="5E3774BF" w14:textId="77777777" w:rsidR="009412F5" w:rsidRDefault="009412F5" w:rsidP="009412F5">
      <w:pPr>
        <w:pStyle w:val="Sinespaciado"/>
        <w:jc w:val="both"/>
        <w:rPr>
          <w:rFonts w:cstheme="minorHAnsi"/>
        </w:rPr>
      </w:pPr>
    </w:p>
    <w:p w14:paraId="78E1A787" w14:textId="4EF9D69A" w:rsidR="005D5661" w:rsidRDefault="005D5661" w:rsidP="005D5661">
      <w:pPr>
        <w:pStyle w:val="Sinespaciado"/>
        <w:jc w:val="both"/>
        <w:rPr>
          <w:rFonts w:cstheme="minorHAnsi"/>
        </w:rPr>
      </w:pPr>
      <w:r w:rsidRPr="001529BB">
        <w:rPr>
          <w:rFonts w:cstheme="minorHAnsi"/>
          <w:szCs w:val="21"/>
        </w:rPr>
        <w:t xml:space="preserve">Para la postulación, </w:t>
      </w:r>
      <w:r>
        <w:rPr>
          <w:rFonts w:cstheme="minorHAnsi"/>
          <w:szCs w:val="21"/>
        </w:rPr>
        <w:t xml:space="preserve">que </w:t>
      </w:r>
      <w:r w:rsidRPr="00933962">
        <w:rPr>
          <w:rFonts w:cstheme="minorHAnsi"/>
          <w:b/>
          <w:bCs/>
          <w:szCs w:val="21"/>
        </w:rPr>
        <w:t>vence el 16 de junio de 2023</w:t>
      </w:r>
      <w:r>
        <w:rPr>
          <w:rFonts w:cstheme="minorHAnsi"/>
          <w:szCs w:val="21"/>
        </w:rPr>
        <w:t xml:space="preserve">, </w:t>
      </w:r>
      <w:r w:rsidRPr="001529BB">
        <w:rPr>
          <w:rFonts w:cstheme="minorHAnsi"/>
          <w:szCs w:val="21"/>
        </w:rPr>
        <w:t xml:space="preserve">se debe diligenciar el formulario en línea y adjuntar los anexos solicitados, dentro de los que se incluye un documento que describa cómo la iniciativa, estrategia o proyecto impacta la visión estratégica, el modelo de negocio, el relacionamiento con clientes, la cultura digital, el uso de plataformas </w:t>
      </w:r>
      <w:r w:rsidR="00BD5EC6">
        <w:rPr>
          <w:rFonts w:cstheme="minorHAnsi"/>
          <w:szCs w:val="21"/>
        </w:rPr>
        <w:t xml:space="preserve">digitales </w:t>
      </w:r>
      <w:r w:rsidRPr="001529BB">
        <w:rPr>
          <w:rFonts w:cstheme="minorHAnsi"/>
          <w:szCs w:val="21"/>
        </w:rPr>
        <w:t>y la sostenibilidad. Así mismo, debe expresar las razones que lo hacen merecedor al Premio a la Transformación Digital Empresarial en la categoría a la cual aplica.</w:t>
      </w:r>
      <w:r>
        <w:rPr>
          <w:rFonts w:cstheme="minorHAnsi"/>
          <w:szCs w:val="21"/>
        </w:rPr>
        <w:t xml:space="preserve"> Para postularse dar clic </w:t>
      </w:r>
      <w:hyperlink r:id="rId10" w:history="1">
        <w:r w:rsidRPr="001529BB">
          <w:rPr>
            <w:rStyle w:val="Hipervnculo"/>
            <w:rFonts w:cstheme="minorHAnsi"/>
            <w:szCs w:val="21"/>
          </w:rPr>
          <w:t>aquí.</w:t>
        </w:r>
      </w:hyperlink>
    </w:p>
    <w:p w14:paraId="00842380" w14:textId="77777777" w:rsidR="005D5661" w:rsidRDefault="005D5661" w:rsidP="009412F5">
      <w:pPr>
        <w:pStyle w:val="Sinespaciado"/>
        <w:jc w:val="both"/>
        <w:rPr>
          <w:rFonts w:cstheme="minorHAnsi"/>
        </w:rPr>
      </w:pPr>
    </w:p>
    <w:p w14:paraId="2D2EB8B2" w14:textId="7B0D71BD" w:rsidR="00D84032" w:rsidRDefault="00D84032" w:rsidP="009412F5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 xml:space="preserve">Es importante </w:t>
      </w:r>
      <w:r w:rsidR="00C54880">
        <w:rPr>
          <w:rFonts w:cstheme="minorHAnsi"/>
        </w:rPr>
        <w:t>indica</w:t>
      </w:r>
      <w:r>
        <w:rPr>
          <w:rFonts w:cstheme="minorHAnsi"/>
        </w:rPr>
        <w:t>r que e</w:t>
      </w:r>
      <w:r w:rsidRPr="00D84032">
        <w:rPr>
          <w:rFonts w:cstheme="minorHAnsi"/>
        </w:rPr>
        <w:t xml:space="preserve">ste premio se entrega a empresas u organizaciones de naturaleza privada y a empresas industriales y comerciales del Estado. En el caso de soluciones tecnológicas innovadoras para la transformación digital, éstas deben ser postuladas por empresas </w:t>
      </w:r>
      <w:r w:rsidR="00BD5EC6">
        <w:rPr>
          <w:rFonts w:cstheme="minorHAnsi"/>
        </w:rPr>
        <w:t xml:space="preserve">colombianas </w:t>
      </w:r>
      <w:r w:rsidRPr="00D84032">
        <w:rPr>
          <w:rFonts w:cstheme="minorHAnsi"/>
        </w:rPr>
        <w:t>que tengan máximo 10 años de constituidas.</w:t>
      </w:r>
      <w:r w:rsidR="003630E6">
        <w:rPr>
          <w:rFonts w:cstheme="minorHAnsi"/>
        </w:rPr>
        <w:t xml:space="preserve"> </w:t>
      </w:r>
    </w:p>
    <w:p w14:paraId="53ACA4DD" w14:textId="77777777" w:rsidR="005D5661" w:rsidRDefault="005D5661" w:rsidP="009412F5">
      <w:pPr>
        <w:pStyle w:val="Sinespaciado"/>
        <w:jc w:val="both"/>
        <w:rPr>
          <w:rFonts w:cstheme="minorHAnsi"/>
        </w:rPr>
      </w:pPr>
    </w:p>
    <w:p w14:paraId="1086B91A" w14:textId="7754D452" w:rsidR="009412F5" w:rsidRPr="001529BB" w:rsidRDefault="009412F5" w:rsidP="001529BB">
      <w:pPr>
        <w:spacing w:after="0"/>
        <w:jc w:val="both"/>
        <w:rPr>
          <w:rFonts w:cstheme="minorHAnsi"/>
          <w:szCs w:val="21"/>
        </w:rPr>
      </w:pPr>
      <w:r>
        <w:rPr>
          <w:rFonts w:cstheme="minorHAnsi"/>
        </w:rPr>
        <w:lastRenderedPageBreak/>
        <w:t xml:space="preserve">Los ganadores se conocerán en el marco del </w:t>
      </w:r>
      <w:r w:rsidRPr="002543C7">
        <w:rPr>
          <w:rFonts w:cstheme="minorHAnsi"/>
          <w:b/>
          <w:bCs/>
        </w:rPr>
        <w:t>Congreso Internacional TIC ANDICOM 202</w:t>
      </w:r>
      <w:r w:rsidR="002F6189" w:rsidRPr="002543C7">
        <w:rPr>
          <w:rFonts w:cstheme="minorHAnsi"/>
          <w:b/>
          <w:bCs/>
        </w:rPr>
        <w:t>3</w:t>
      </w:r>
      <w:r>
        <w:rPr>
          <w:rFonts w:cstheme="minorHAnsi"/>
        </w:rPr>
        <w:t xml:space="preserve">, </w:t>
      </w:r>
      <w:r w:rsidR="002F6189">
        <w:rPr>
          <w:rFonts w:cstheme="minorHAnsi"/>
        </w:rPr>
        <w:t>que se realizará en el Complejo Las Américas en Cartagena de Indias (Colombia),</w:t>
      </w:r>
      <w:r w:rsidR="00C52BE2">
        <w:rPr>
          <w:rFonts w:cstheme="minorHAnsi"/>
        </w:rPr>
        <w:t xml:space="preserve"> los días</w:t>
      </w:r>
      <w:r>
        <w:rPr>
          <w:rFonts w:cstheme="minorHAnsi"/>
        </w:rPr>
        <w:t xml:space="preserve"> </w:t>
      </w:r>
      <w:r w:rsidR="002F6189">
        <w:rPr>
          <w:rFonts w:cstheme="minorHAnsi"/>
        </w:rPr>
        <w:t>6</w:t>
      </w:r>
      <w:r w:rsidR="00C52BE2">
        <w:rPr>
          <w:rFonts w:cstheme="minorHAnsi"/>
        </w:rPr>
        <w:t xml:space="preserve">, 7 y </w:t>
      </w:r>
      <w:r w:rsidR="002F6189">
        <w:rPr>
          <w:rFonts w:cstheme="minorHAnsi"/>
        </w:rPr>
        <w:t>8</w:t>
      </w:r>
      <w:r>
        <w:rPr>
          <w:rFonts w:cstheme="minorHAnsi"/>
        </w:rPr>
        <w:t xml:space="preserve"> de </w:t>
      </w:r>
      <w:r w:rsidR="002F6189">
        <w:rPr>
          <w:rFonts w:cstheme="minorHAnsi"/>
        </w:rPr>
        <w:t>septiembr</w:t>
      </w:r>
      <w:r>
        <w:rPr>
          <w:rFonts w:cstheme="minorHAnsi"/>
        </w:rPr>
        <w:t>e próximos.</w:t>
      </w:r>
      <w:r w:rsidR="001529BB">
        <w:rPr>
          <w:rFonts w:cstheme="minorHAnsi"/>
        </w:rPr>
        <w:t xml:space="preserve"> </w:t>
      </w:r>
      <w:r w:rsidR="001529BB">
        <w:rPr>
          <w:rFonts w:cstheme="minorHAnsi"/>
          <w:szCs w:val="21"/>
        </w:rPr>
        <w:t xml:space="preserve">Para conocer más de ANDICOM2023 visita </w:t>
      </w:r>
      <w:hyperlink r:id="rId11" w:history="1">
        <w:r w:rsidR="001529BB" w:rsidRPr="009334C9">
          <w:rPr>
            <w:rStyle w:val="Hipervnculo"/>
            <w:rFonts w:cstheme="minorHAnsi"/>
            <w:szCs w:val="21"/>
          </w:rPr>
          <w:t>https://andicom.co</w:t>
        </w:r>
      </w:hyperlink>
    </w:p>
    <w:p w14:paraId="6D562929" w14:textId="77777777" w:rsidR="009412F5" w:rsidRPr="00204FE3" w:rsidRDefault="009412F5" w:rsidP="009412F5">
      <w:pPr>
        <w:spacing w:after="0"/>
        <w:jc w:val="both"/>
        <w:rPr>
          <w:rFonts w:cstheme="minorHAnsi"/>
          <w:szCs w:val="21"/>
        </w:rPr>
      </w:pPr>
    </w:p>
    <w:p w14:paraId="6447BBB9" w14:textId="15E0E982" w:rsidR="001529BB" w:rsidRDefault="009412F5" w:rsidP="009412F5">
      <w:pPr>
        <w:spacing w:after="0"/>
        <w:jc w:val="both"/>
        <w:rPr>
          <w:rFonts w:cstheme="minorHAnsi"/>
          <w:szCs w:val="21"/>
        </w:rPr>
      </w:pPr>
      <w:r w:rsidRPr="00204FE3">
        <w:rPr>
          <w:rFonts w:cstheme="minorHAnsi"/>
          <w:szCs w:val="21"/>
        </w:rPr>
        <w:t>La transformación digital empresarial es un tema que vienen trabajando PwC y CINTEL hace algunos años. Se entiende por transformación digital como el aprovechamiento óptimo de las Tecnologías de la Información y las Comunicaciones (TIC) por parte de las empresas, en sus diferentes procesos, en sus productos y servicios, y en el modelo de negocio, para el logro de su estrategia.</w:t>
      </w:r>
    </w:p>
    <w:p w14:paraId="4C5CBCAB" w14:textId="77777777" w:rsidR="001529BB" w:rsidRDefault="001529BB" w:rsidP="009412F5">
      <w:pPr>
        <w:spacing w:after="0"/>
        <w:jc w:val="both"/>
        <w:rPr>
          <w:rFonts w:cstheme="minorHAnsi"/>
          <w:szCs w:val="21"/>
        </w:rPr>
      </w:pPr>
    </w:p>
    <w:p w14:paraId="266E1524" w14:textId="0C624CF2" w:rsidR="00BC0FBC" w:rsidRDefault="001529BB" w:rsidP="001529BB">
      <w:pPr>
        <w:spacing w:after="0"/>
        <w:jc w:val="both"/>
        <w:rPr>
          <w:rFonts w:cstheme="minorHAnsi"/>
          <w:szCs w:val="21"/>
        </w:rPr>
      </w:pPr>
      <w:r w:rsidRPr="00204FE3">
        <w:rPr>
          <w:rFonts w:cstheme="minorHAnsi"/>
          <w:szCs w:val="21"/>
        </w:rPr>
        <w:t xml:space="preserve">Cabe destacar que toda transformación organizacional debe ser medida y puesta a prueba frente a los cambios e impactos en las mejoras de las capacidades de la empresa para generar ingresos, mejorar sus talentos, lograr ventajas competitivas e innovar. </w:t>
      </w:r>
      <w:r>
        <w:rPr>
          <w:rFonts w:cstheme="minorHAnsi"/>
          <w:szCs w:val="21"/>
        </w:rPr>
        <w:t xml:space="preserve"> </w:t>
      </w:r>
    </w:p>
    <w:p w14:paraId="77AE9936" w14:textId="77777777" w:rsidR="00933962" w:rsidRPr="001529BB" w:rsidRDefault="00933962" w:rsidP="001529BB">
      <w:pPr>
        <w:spacing w:after="0"/>
        <w:jc w:val="both"/>
        <w:rPr>
          <w:rStyle w:val="normaltextrun"/>
          <w:rFonts w:cstheme="minorHAnsi"/>
          <w:szCs w:val="21"/>
        </w:rPr>
      </w:pPr>
    </w:p>
    <w:p w14:paraId="6E8F942E" w14:textId="2B9ABC14" w:rsidR="001F7887" w:rsidRPr="00C657FB" w:rsidRDefault="001F7887" w:rsidP="00C657FB">
      <w:pPr>
        <w:pStyle w:val="Sinespaciado"/>
        <w:rPr>
          <w:rStyle w:val="normaltextrun"/>
          <w:rFonts w:ascii="Gilroy-Regular" w:hAnsi="Gilroy-Regular" w:cs="Calibri"/>
          <w:b/>
          <w:bCs/>
          <w:color w:val="000000" w:themeColor="text1"/>
        </w:rPr>
      </w:pPr>
      <w:r w:rsidRPr="00C657FB">
        <w:rPr>
          <w:rStyle w:val="normaltextrun"/>
          <w:rFonts w:ascii="Gilroy-Regular" w:hAnsi="Gilroy-Regular" w:cs="Calibri"/>
          <w:b/>
          <w:bCs/>
          <w:color w:val="000000" w:themeColor="text1"/>
        </w:rPr>
        <w:t>ACERCA DE ANDICOM</w:t>
      </w:r>
    </w:p>
    <w:p w14:paraId="6A2E1BA9" w14:textId="0A7A620A" w:rsidR="001F7887" w:rsidRDefault="00C657FB" w:rsidP="00C657FB">
      <w:pPr>
        <w:pStyle w:val="Sinespaciado"/>
        <w:jc w:val="both"/>
        <w:rPr>
          <w:rStyle w:val="normaltextrun"/>
          <w:rFonts w:ascii="Gilroy-Regular" w:hAnsi="Gilroy-Regular" w:cs="Calibri"/>
          <w:color w:val="000000" w:themeColor="text1"/>
        </w:rPr>
      </w:pPr>
      <w:r w:rsidRPr="00C657FB">
        <w:rPr>
          <w:rStyle w:val="normaltextrun"/>
          <w:rFonts w:ascii="Gilroy-Regular" w:hAnsi="Gilroy-Regular" w:cs="Calibri"/>
          <w:color w:val="000000" w:themeColor="text1"/>
        </w:rPr>
        <w:t>Es el punto de encuentro para unir la oferta y la demanda de soluciones basadas en tecnología para todas las industrias, en donde se generan oportunidades de negocios y se actualiza en las tendencias tecnológicas, de política sectorial y del mercado. Sin duda, es el lugar ideal para interactuar con los principales referentes de la industria TIC, reunidos en un solo lugar.​</w:t>
      </w:r>
      <w:r w:rsidR="00F76E09">
        <w:rPr>
          <w:rStyle w:val="normaltextrun"/>
          <w:rFonts w:ascii="Gilroy-Regular" w:hAnsi="Gilroy-Regular" w:cs="Calibri"/>
          <w:color w:val="000000" w:themeColor="text1"/>
        </w:rPr>
        <w:t xml:space="preserve"> </w:t>
      </w:r>
      <w:r w:rsidRPr="00C657FB">
        <w:rPr>
          <w:rStyle w:val="normaltextrun"/>
          <w:rFonts w:ascii="Gilroy-Regular" w:hAnsi="Gilroy-Regular" w:cs="Calibri"/>
          <w:color w:val="000000" w:themeColor="text1"/>
        </w:rPr>
        <w:t>El Congreso cuenta con una agenda académica de alto nivel que permite la transferencia de conocimiento a los participantes sobre las tendencias tecnológicas</w:t>
      </w:r>
      <w:r>
        <w:rPr>
          <w:rStyle w:val="normaltextrun"/>
          <w:rFonts w:ascii="Gilroy-Regular" w:hAnsi="Gilroy-Regular" w:cs="Calibri"/>
          <w:color w:val="000000" w:themeColor="text1"/>
        </w:rPr>
        <w:t xml:space="preserve"> </w:t>
      </w:r>
      <w:r w:rsidRPr="00C657FB">
        <w:rPr>
          <w:rStyle w:val="normaltextrun"/>
          <w:rFonts w:ascii="Gilroy-Regular" w:hAnsi="Gilroy-Regular" w:cs="Calibri"/>
          <w:color w:val="000000" w:themeColor="text1"/>
        </w:rPr>
        <w:t>que definen las dinámicas de la economía digital.​</w:t>
      </w:r>
      <w:r w:rsidR="00B25F71">
        <w:rPr>
          <w:rStyle w:val="normaltextrun"/>
          <w:rFonts w:ascii="Gilroy-Regular" w:hAnsi="Gilroy-Regular" w:cs="Calibri"/>
          <w:color w:val="000000" w:themeColor="text1"/>
        </w:rPr>
        <w:t xml:space="preserve">Más información </w:t>
      </w:r>
      <w:hyperlink r:id="rId12" w:history="1">
        <w:r w:rsidR="00B25F71" w:rsidRPr="00E517E9">
          <w:rPr>
            <w:rStyle w:val="Hipervnculo"/>
            <w:rFonts w:ascii="Gilroy-Regular" w:hAnsi="Gilroy-Regular" w:cs="Calibri"/>
          </w:rPr>
          <w:t>www.andicom.co</w:t>
        </w:r>
      </w:hyperlink>
    </w:p>
    <w:p w14:paraId="34F17FDA" w14:textId="2FC29395" w:rsidR="001F7887" w:rsidRDefault="001F7887" w:rsidP="00A8131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ilroy-Regular" w:hAnsi="Gilroy-Regular" w:cs="Calibri"/>
          <w:color w:val="000000" w:themeColor="text1"/>
        </w:rPr>
      </w:pPr>
    </w:p>
    <w:p w14:paraId="69F25B82" w14:textId="77777777" w:rsidR="0073417D" w:rsidRPr="00E120A3" w:rsidRDefault="001F7887" w:rsidP="007341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ilroy-Regular" w:hAnsi="Gilroy-Regular" w:cs="Calibri"/>
          <w:b/>
          <w:bCs/>
          <w:color w:val="000000" w:themeColor="text1"/>
          <w:sz w:val="22"/>
          <w:szCs w:val="22"/>
        </w:rPr>
      </w:pPr>
      <w:r w:rsidRPr="00E120A3">
        <w:rPr>
          <w:rStyle w:val="normaltextrun"/>
          <w:rFonts w:ascii="Gilroy-Regular" w:hAnsi="Gilroy-Regular" w:cs="Calibri"/>
          <w:b/>
          <w:bCs/>
          <w:color w:val="000000" w:themeColor="text1"/>
          <w:sz w:val="22"/>
          <w:szCs w:val="22"/>
        </w:rPr>
        <w:t>ACERCA DE CINTEL</w:t>
      </w:r>
    </w:p>
    <w:p w14:paraId="4445EBD2" w14:textId="1E06E458" w:rsidR="0073417D" w:rsidRDefault="0073417D" w:rsidP="00E120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ilroy-Regular" w:hAnsi="Gilroy-Regular" w:cs="Calibri"/>
          <w:color w:val="000000" w:themeColor="text1"/>
          <w:sz w:val="22"/>
          <w:szCs w:val="22"/>
        </w:rPr>
      </w:pPr>
      <w:r w:rsidRPr="0073417D">
        <w:rPr>
          <w:rStyle w:val="normaltextrun"/>
          <w:rFonts w:ascii="Gilroy-Regular" w:hAnsi="Gilroy-Regular" w:cs="Calibri"/>
          <w:color w:val="000000" w:themeColor="text1"/>
          <w:sz w:val="22"/>
          <w:szCs w:val="22"/>
        </w:rPr>
        <w:t xml:space="preserve">El Centro de Investigación y Desarrollo en Tecnologías de la Información y las Comunicaciones (CINTEL) realiza proyectos de innovación aplicada en el uso de TIC, en empresas públicas y privadas desde 1991, y es considerada una de las entidades con mayor experiencia en la implementación de las TIC en Colombia en todos los ámbitos del ecosistema sectorial. Organiza el Congreso Internacional TIC – ANDICOM- y desarrolla diversas iniciativas sectoriales que buscan hacer realidad la transformación digital de la sociedad.  Más información: </w:t>
      </w:r>
      <w:hyperlink r:id="rId13" w:history="1">
        <w:r w:rsidR="00E120A3" w:rsidRPr="00741C88">
          <w:rPr>
            <w:rStyle w:val="Hipervnculo"/>
            <w:rFonts w:ascii="Gilroy-Regular" w:hAnsi="Gilroy-Regular" w:cs="Calibri"/>
            <w:sz w:val="22"/>
            <w:szCs w:val="22"/>
          </w:rPr>
          <w:t>www.cintel.co</w:t>
        </w:r>
      </w:hyperlink>
    </w:p>
    <w:p w14:paraId="0972B5A6" w14:textId="77777777" w:rsidR="00E120A3" w:rsidRPr="00E120A3" w:rsidRDefault="00E120A3" w:rsidP="00E120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ilroy-Regular" w:hAnsi="Gilroy-Regular" w:cs="Calibri"/>
          <w:color w:val="000000" w:themeColor="text1"/>
          <w:sz w:val="22"/>
          <w:szCs w:val="22"/>
        </w:rPr>
      </w:pPr>
    </w:p>
    <w:p w14:paraId="7CD24B8D" w14:textId="48F4B8E9" w:rsidR="001F7887" w:rsidRPr="0073417D" w:rsidRDefault="001F7887" w:rsidP="00A8131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ilroy-Regular" w:hAnsi="Gilroy-Regular" w:cs="Calibri"/>
          <w:color w:val="000000" w:themeColor="text1"/>
          <w:sz w:val="20"/>
          <w:szCs w:val="20"/>
        </w:rPr>
      </w:pPr>
      <w:r w:rsidRPr="0073417D">
        <w:rPr>
          <w:rStyle w:val="normaltextrun"/>
          <w:rFonts w:ascii="Gilroy-Regular" w:hAnsi="Gilroy-Regular" w:cs="Calibri"/>
          <w:color w:val="000000" w:themeColor="text1"/>
          <w:sz w:val="20"/>
          <w:szCs w:val="20"/>
        </w:rPr>
        <w:t>----</w:t>
      </w:r>
    </w:p>
    <w:p w14:paraId="45D57AB8" w14:textId="6F66A7B8" w:rsidR="001F7887" w:rsidRPr="0073417D" w:rsidRDefault="001F7887" w:rsidP="00A8131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ilroy-Regular" w:hAnsi="Gilroy-Regular" w:cs="Calibri"/>
          <w:color w:val="000000" w:themeColor="text1"/>
          <w:sz w:val="20"/>
          <w:szCs w:val="20"/>
        </w:rPr>
      </w:pPr>
      <w:r w:rsidRPr="0073417D">
        <w:rPr>
          <w:rStyle w:val="normaltextrun"/>
          <w:rFonts w:ascii="Gilroy-Regular" w:hAnsi="Gilroy-Regular" w:cs="Calibri"/>
          <w:color w:val="000000" w:themeColor="text1"/>
          <w:sz w:val="20"/>
          <w:szCs w:val="20"/>
        </w:rPr>
        <w:t>Más información de prensa</w:t>
      </w:r>
    </w:p>
    <w:p w14:paraId="503D3F52" w14:textId="204F4F3A" w:rsidR="001F7887" w:rsidRPr="00E120A3" w:rsidRDefault="001F7887" w:rsidP="00A8131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ilroy-Regular" w:hAnsi="Gilroy-Regular" w:cs="Calibri"/>
          <w:b/>
          <w:bCs/>
          <w:color w:val="000000" w:themeColor="text1"/>
          <w:sz w:val="20"/>
          <w:szCs w:val="20"/>
        </w:rPr>
      </w:pPr>
      <w:r w:rsidRPr="00E120A3">
        <w:rPr>
          <w:rStyle w:val="normaltextrun"/>
          <w:rFonts w:ascii="Gilroy-Regular" w:hAnsi="Gilroy-Regular" w:cs="Calibri"/>
          <w:b/>
          <w:bCs/>
          <w:color w:val="000000" w:themeColor="text1"/>
          <w:sz w:val="20"/>
          <w:szCs w:val="20"/>
        </w:rPr>
        <w:t>Amilde Frías Rincón</w:t>
      </w:r>
    </w:p>
    <w:p w14:paraId="1D9F1A52" w14:textId="290298FD" w:rsidR="001F7887" w:rsidRPr="0073417D" w:rsidRDefault="001F7887" w:rsidP="00A8131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ilroy-Regular" w:hAnsi="Gilroy-Regular" w:cs="Calibri"/>
          <w:color w:val="000000" w:themeColor="text1"/>
          <w:sz w:val="20"/>
          <w:szCs w:val="20"/>
        </w:rPr>
      </w:pPr>
      <w:r w:rsidRPr="0073417D">
        <w:rPr>
          <w:rStyle w:val="normaltextrun"/>
          <w:rFonts w:ascii="Gilroy-Regular" w:hAnsi="Gilroy-Regular" w:cs="Calibri"/>
          <w:color w:val="000000" w:themeColor="text1"/>
          <w:sz w:val="20"/>
          <w:szCs w:val="20"/>
        </w:rPr>
        <w:t>Asesora de Comunicaciones y Prensa ANDICOM 2023</w:t>
      </w:r>
    </w:p>
    <w:p w14:paraId="63B3EBF0" w14:textId="6DD810D0" w:rsidR="001F7887" w:rsidRPr="0073417D" w:rsidRDefault="00000000" w:rsidP="00A8131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ilroy-Regular" w:hAnsi="Gilroy-Regular" w:cs="Calibri"/>
          <w:color w:val="000000" w:themeColor="text1"/>
          <w:sz w:val="20"/>
          <w:szCs w:val="20"/>
        </w:rPr>
      </w:pPr>
      <w:hyperlink r:id="rId14" w:history="1">
        <w:r w:rsidR="001F7887" w:rsidRPr="0073417D">
          <w:rPr>
            <w:rStyle w:val="Hipervnculo"/>
            <w:rFonts w:ascii="Gilroy-Regular" w:hAnsi="Gilroy-Regular" w:cs="Calibri"/>
            <w:sz w:val="20"/>
            <w:szCs w:val="20"/>
          </w:rPr>
          <w:t>afrias@cintel.org.co</w:t>
        </w:r>
      </w:hyperlink>
    </w:p>
    <w:p w14:paraId="67A106E3" w14:textId="38B8959B" w:rsidR="001F7887" w:rsidRPr="0073417D" w:rsidRDefault="001F7887" w:rsidP="00A8131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ilroy-Regular" w:hAnsi="Gilroy-Regular" w:cs="Calibri"/>
          <w:color w:val="000000" w:themeColor="text1"/>
          <w:sz w:val="20"/>
          <w:szCs w:val="20"/>
        </w:rPr>
      </w:pPr>
      <w:r w:rsidRPr="0073417D">
        <w:rPr>
          <w:rStyle w:val="normaltextrun"/>
          <w:rFonts w:ascii="Gilroy-Regular" w:hAnsi="Gilroy-Regular" w:cs="Calibri"/>
          <w:color w:val="000000" w:themeColor="text1"/>
          <w:sz w:val="20"/>
          <w:szCs w:val="20"/>
        </w:rPr>
        <w:t>+57 3002160717</w:t>
      </w:r>
    </w:p>
    <w:p w14:paraId="1C50293D" w14:textId="4A4AB90A" w:rsidR="001F7887" w:rsidRPr="0073417D" w:rsidRDefault="001F7887" w:rsidP="00A8131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ilroy-Regular" w:hAnsi="Gilroy-Regular" w:cs="Calibri"/>
          <w:color w:val="000000" w:themeColor="text1"/>
          <w:sz w:val="20"/>
          <w:szCs w:val="20"/>
        </w:rPr>
      </w:pPr>
    </w:p>
    <w:p w14:paraId="2FA99118" w14:textId="0886C567" w:rsidR="001F7887" w:rsidRPr="00E120A3" w:rsidRDefault="001F7887" w:rsidP="00A8131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ilroy-Regular" w:hAnsi="Gilroy-Regular" w:cs="Calibri"/>
          <w:b/>
          <w:bCs/>
          <w:color w:val="000000" w:themeColor="text1"/>
          <w:sz w:val="20"/>
          <w:szCs w:val="20"/>
        </w:rPr>
      </w:pPr>
      <w:r w:rsidRPr="00E120A3">
        <w:rPr>
          <w:rStyle w:val="normaltextrun"/>
          <w:rFonts w:ascii="Gilroy-Regular" w:hAnsi="Gilroy-Regular" w:cs="Calibri"/>
          <w:b/>
          <w:bCs/>
          <w:color w:val="000000" w:themeColor="text1"/>
          <w:sz w:val="20"/>
          <w:szCs w:val="20"/>
        </w:rPr>
        <w:t>William Guerrero</w:t>
      </w:r>
    </w:p>
    <w:p w14:paraId="354FB312" w14:textId="49AB8F34" w:rsidR="001F7887" w:rsidRPr="0073417D" w:rsidRDefault="001F7887" w:rsidP="00A8131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ilroy-Regular" w:hAnsi="Gilroy-Regular" w:cs="Calibri"/>
          <w:color w:val="000000" w:themeColor="text1"/>
          <w:sz w:val="20"/>
          <w:szCs w:val="20"/>
        </w:rPr>
      </w:pPr>
      <w:r w:rsidRPr="0073417D">
        <w:rPr>
          <w:rStyle w:val="normaltextrun"/>
          <w:rFonts w:ascii="Gilroy-Regular" w:hAnsi="Gilroy-Regular" w:cs="Calibri"/>
          <w:color w:val="000000" w:themeColor="text1"/>
          <w:sz w:val="20"/>
          <w:szCs w:val="20"/>
        </w:rPr>
        <w:t>Comunicaciones CINTEL</w:t>
      </w:r>
    </w:p>
    <w:p w14:paraId="55A19E06" w14:textId="05BE7375" w:rsidR="001F7887" w:rsidRPr="0073417D" w:rsidRDefault="00000000" w:rsidP="00A8131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ilroy-Regular" w:hAnsi="Gilroy-Regular" w:cs="Calibri"/>
          <w:color w:val="000000" w:themeColor="text1"/>
          <w:sz w:val="20"/>
          <w:szCs w:val="20"/>
        </w:rPr>
      </w:pPr>
      <w:hyperlink r:id="rId15" w:history="1">
        <w:r w:rsidR="001F7887" w:rsidRPr="0073417D">
          <w:rPr>
            <w:rStyle w:val="Hipervnculo"/>
            <w:rFonts w:ascii="Gilroy-Regular" w:hAnsi="Gilroy-Regular" w:cs="Calibri"/>
            <w:sz w:val="20"/>
            <w:szCs w:val="20"/>
          </w:rPr>
          <w:t>wguerrero@cintel.org.co</w:t>
        </w:r>
      </w:hyperlink>
    </w:p>
    <w:p w14:paraId="31153544" w14:textId="58F94454" w:rsidR="001F7887" w:rsidRPr="0073417D" w:rsidRDefault="00E144B1" w:rsidP="00A8131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ilroy-Regular" w:hAnsi="Gilroy-Regular" w:cs="Calibri"/>
          <w:color w:val="000000" w:themeColor="text1"/>
          <w:sz w:val="20"/>
          <w:szCs w:val="20"/>
        </w:rPr>
      </w:pPr>
      <w:r w:rsidRPr="0073417D">
        <w:rPr>
          <w:rStyle w:val="normaltextrun"/>
          <w:rFonts w:ascii="Gilroy-Regular" w:hAnsi="Gilroy-Regular" w:cs="Calibri"/>
          <w:color w:val="000000" w:themeColor="text1"/>
          <w:sz w:val="20"/>
          <w:szCs w:val="20"/>
        </w:rPr>
        <w:t xml:space="preserve">+57 </w:t>
      </w:r>
      <w:r w:rsidR="001F7887" w:rsidRPr="0073417D">
        <w:rPr>
          <w:rStyle w:val="normaltextrun"/>
          <w:rFonts w:ascii="Gilroy-Regular" w:hAnsi="Gilroy-Regular" w:cs="Calibri"/>
          <w:color w:val="000000" w:themeColor="text1"/>
          <w:sz w:val="20"/>
          <w:szCs w:val="20"/>
        </w:rPr>
        <w:t>300 8632231</w:t>
      </w:r>
    </w:p>
    <w:sectPr w:rsidR="001F7887" w:rsidRPr="0073417D" w:rsidSect="00EB7206">
      <w:headerReference w:type="default" r:id="rId16"/>
      <w:footerReference w:type="default" r:id="rId17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616B5" w14:textId="77777777" w:rsidR="00175506" w:rsidRDefault="00175506" w:rsidP="00E861BE">
      <w:pPr>
        <w:spacing w:after="0" w:line="240" w:lineRule="auto"/>
      </w:pPr>
      <w:r>
        <w:separator/>
      </w:r>
    </w:p>
  </w:endnote>
  <w:endnote w:type="continuationSeparator" w:id="0">
    <w:p w14:paraId="775D657A" w14:textId="77777777" w:rsidR="00175506" w:rsidRDefault="00175506" w:rsidP="00E86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roy-Regular">
    <w:altName w:val="Calibri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7B7AB" w14:textId="77777777" w:rsidR="00E861BE" w:rsidRDefault="00E861BE" w:rsidP="00E861BE">
    <w:pPr>
      <w:pStyle w:val="Piedepgina"/>
      <w:rPr>
        <w:noProof/>
      </w:rPr>
    </w:pPr>
  </w:p>
  <w:p w14:paraId="55B6A1E3" w14:textId="08011EE5" w:rsidR="00E861BE" w:rsidRPr="00E861BE" w:rsidRDefault="003E608C" w:rsidP="004B608A">
    <w:pPr>
      <w:pStyle w:val="Piedepgina"/>
      <w:ind w:left="-1701"/>
      <w:jc w:val="center"/>
    </w:pPr>
    <w:r>
      <w:rPr>
        <w:noProof/>
      </w:rPr>
      <w:drawing>
        <wp:inline distT="0" distB="0" distL="0" distR="0" wp14:anchorId="2E0AFADA" wp14:editId="72AFBAC0">
          <wp:extent cx="7772400" cy="865632"/>
          <wp:effectExtent l="0" t="0" r="0" b="0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n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865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0191D" w14:textId="77777777" w:rsidR="00175506" w:rsidRDefault="00175506" w:rsidP="00E861BE">
      <w:pPr>
        <w:spacing w:after="0" w:line="240" w:lineRule="auto"/>
      </w:pPr>
      <w:r>
        <w:separator/>
      </w:r>
    </w:p>
  </w:footnote>
  <w:footnote w:type="continuationSeparator" w:id="0">
    <w:p w14:paraId="7332830D" w14:textId="77777777" w:rsidR="00175506" w:rsidRDefault="00175506" w:rsidP="00E86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D72D2" w14:textId="56A91EF2" w:rsidR="00F15AF0" w:rsidRDefault="003E608C" w:rsidP="00EB7206">
    <w:pPr>
      <w:pStyle w:val="Encabezado"/>
      <w:tabs>
        <w:tab w:val="clear" w:pos="8838"/>
      </w:tabs>
      <w:ind w:left="-1701" w:right="-1652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15027B" wp14:editId="4576CFE8">
          <wp:simplePos x="0" y="0"/>
          <wp:positionH relativeFrom="column">
            <wp:posOffset>-1079500</wp:posOffset>
          </wp:positionH>
          <wp:positionV relativeFrom="paragraph">
            <wp:posOffset>0</wp:posOffset>
          </wp:positionV>
          <wp:extent cx="7772400" cy="1081759"/>
          <wp:effectExtent l="0" t="0" r="0" b="4445"/>
          <wp:wrapSquare wrapText="bothSides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n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817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036F1"/>
    <w:multiLevelType w:val="hybridMultilevel"/>
    <w:tmpl w:val="DA04546C"/>
    <w:lvl w:ilvl="0" w:tplc="240A0003">
      <w:start w:val="1"/>
      <w:numFmt w:val="bullet"/>
      <w:lvlText w:val="o"/>
      <w:lvlJc w:val="left"/>
      <w:pPr>
        <w:ind w:left="784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18FA67A7"/>
    <w:multiLevelType w:val="hybridMultilevel"/>
    <w:tmpl w:val="809694A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A00AE"/>
    <w:multiLevelType w:val="hybridMultilevel"/>
    <w:tmpl w:val="6C42BC4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87EB7"/>
    <w:multiLevelType w:val="hybridMultilevel"/>
    <w:tmpl w:val="F078F14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66F7F"/>
    <w:multiLevelType w:val="hybridMultilevel"/>
    <w:tmpl w:val="10CA867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B0E93"/>
    <w:multiLevelType w:val="multilevel"/>
    <w:tmpl w:val="AF20F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924082"/>
    <w:multiLevelType w:val="multilevel"/>
    <w:tmpl w:val="EED614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CA76D06"/>
    <w:multiLevelType w:val="multilevel"/>
    <w:tmpl w:val="B57AA1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679F1634"/>
    <w:multiLevelType w:val="hybridMultilevel"/>
    <w:tmpl w:val="533EE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615668">
    <w:abstractNumId w:val="3"/>
  </w:num>
  <w:num w:numId="2" w16cid:durableId="299845528">
    <w:abstractNumId w:val="4"/>
  </w:num>
  <w:num w:numId="3" w16cid:durableId="857545112">
    <w:abstractNumId w:val="2"/>
  </w:num>
  <w:num w:numId="4" w16cid:durableId="118957253">
    <w:abstractNumId w:val="6"/>
  </w:num>
  <w:num w:numId="5" w16cid:durableId="1439134611">
    <w:abstractNumId w:val="7"/>
  </w:num>
  <w:num w:numId="6" w16cid:durableId="198902209">
    <w:abstractNumId w:val="5"/>
  </w:num>
  <w:num w:numId="7" w16cid:durableId="2084597427">
    <w:abstractNumId w:val="1"/>
  </w:num>
  <w:num w:numId="8" w16cid:durableId="541289302">
    <w:abstractNumId w:val="0"/>
  </w:num>
  <w:num w:numId="9" w16cid:durableId="3235158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1BE"/>
    <w:rsid w:val="00012202"/>
    <w:rsid w:val="00025CEC"/>
    <w:rsid w:val="00032EB2"/>
    <w:rsid w:val="0007679E"/>
    <w:rsid w:val="000B03B7"/>
    <w:rsid w:val="000C7B11"/>
    <w:rsid w:val="00115DC4"/>
    <w:rsid w:val="00116B3F"/>
    <w:rsid w:val="00135512"/>
    <w:rsid w:val="00141061"/>
    <w:rsid w:val="00146603"/>
    <w:rsid w:val="001529BB"/>
    <w:rsid w:val="00163C33"/>
    <w:rsid w:val="00175506"/>
    <w:rsid w:val="0017591E"/>
    <w:rsid w:val="00195D60"/>
    <w:rsid w:val="00197E67"/>
    <w:rsid w:val="001B332B"/>
    <w:rsid w:val="001E13B8"/>
    <w:rsid w:val="001E36FA"/>
    <w:rsid w:val="001F7887"/>
    <w:rsid w:val="00207635"/>
    <w:rsid w:val="00222767"/>
    <w:rsid w:val="002364E0"/>
    <w:rsid w:val="0025280B"/>
    <w:rsid w:val="002543C7"/>
    <w:rsid w:val="00261CDA"/>
    <w:rsid w:val="00265E53"/>
    <w:rsid w:val="002875A6"/>
    <w:rsid w:val="002F6189"/>
    <w:rsid w:val="00303771"/>
    <w:rsid w:val="00304777"/>
    <w:rsid w:val="003062AF"/>
    <w:rsid w:val="00307C40"/>
    <w:rsid w:val="003105BF"/>
    <w:rsid w:val="00310A61"/>
    <w:rsid w:val="00360F5D"/>
    <w:rsid w:val="003630E6"/>
    <w:rsid w:val="0036503C"/>
    <w:rsid w:val="00365777"/>
    <w:rsid w:val="00376BD1"/>
    <w:rsid w:val="0039034E"/>
    <w:rsid w:val="003A26D7"/>
    <w:rsid w:val="003E608C"/>
    <w:rsid w:val="004019A7"/>
    <w:rsid w:val="00454561"/>
    <w:rsid w:val="004934D7"/>
    <w:rsid w:val="004A2ECC"/>
    <w:rsid w:val="004B608A"/>
    <w:rsid w:val="004C6B7D"/>
    <w:rsid w:val="004D4F21"/>
    <w:rsid w:val="005012DC"/>
    <w:rsid w:val="00515F2D"/>
    <w:rsid w:val="00524658"/>
    <w:rsid w:val="00577566"/>
    <w:rsid w:val="00587F62"/>
    <w:rsid w:val="00593128"/>
    <w:rsid w:val="005D5661"/>
    <w:rsid w:val="005E2E56"/>
    <w:rsid w:val="005F7A32"/>
    <w:rsid w:val="006155B2"/>
    <w:rsid w:val="006359F4"/>
    <w:rsid w:val="006961BB"/>
    <w:rsid w:val="006B0AB3"/>
    <w:rsid w:val="006C6939"/>
    <w:rsid w:val="00713E7F"/>
    <w:rsid w:val="00716426"/>
    <w:rsid w:val="0073417D"/>
    <w:rsid w:val="00764C63"/>
    <w:rsid w:val="00771987"/>
    <w:rsid w:val="00775E92"/>
    <w:rsid w:val="0079705B"/>
    <w:rsid w:val="007A19FC"/>
    <w:rsid w:val="007A38EF"/>
    <w:rsid w:val="007D2775"/>
    <w:rsid w:val="00814B74"/>
    <w:rsid w:val="00821FAD"/>
    <w:rsid w:val="0085098B"/>
    <w:rsid w:val="00867D61"/>
    <w:rsid w:val="00896838"/>
    <w:rsid w:val="00932304"/>
    <w:rsid w:val="00933962"/>
    <w:rsid w:val="009412F5"/>
    <w:rsid w:val="00944094"/>
    <w:rsid w:val="00974AF6"/>
    <w:rsid w:val="00992E9E"/>
    <w:rsid w:val="009A08ED"/>
    <w:rsid w:val="009A2E59"/>
    <w:rsid w:val="009A4E4C"/>
    <w:rsid w:val="009C3974"/>
    <w:rsid w:val="00A412AD"/>
    <w:rsid w:val="00A4783E"/>
    <w:rsid w:val="00A512B4"/>
    <w:rsid w:val="00A63F70"/>
    <w:rsid w:val="00A70BE8"/>
    <w:rsid w:val="00A81315"/>
    <w:rsid w:val="00AA7F06"/>
    <w:rsid w:val="00AB1770"/>
    <w:rsid w:val="00AC5804"/>
    <w:rsid w:val="00AE53F7"/>
    <w:rsid w:val="00B16438"/>
    <w:rsid w:val="00B16C46"/>
    <w:rsid w:val="00B24B4F"/>
    <w:rsid w:val="00B25F71"/>
    <w:rsid w:val="00B50C98"/>
    <w:rsid w:val="00B50D4E"/>
    <w:rsid w:val="00B5380B"/>
    <w:rsid w:val="00B75059"/>
    <w:rsid w:val="00BB231C"/>
    <w:rsid w:val="00BC0FBC"/>
    <w:rsid w:val="00BC5160"/>
    <w:rsid w:val="00BD5EC6"/>
    <w:rsid w:val="00BE233B"/>
    <w:rsid w:val="00C01832"/>
    <w:rsid w:val="00C21D46"/>
    <w:rsid w:val="00C51483"/>
    <w:rsid w:val="00C52BE2"/>
    <w:rsid w:val="00C54880"/>
    <w:rsid w:val="00C56339"/>
    <w:rsid w:val="00C657FB"/>
    <w:rsid w:val="00C75E33"/>
    <w:rsid w:val="00CD0EC6"/>
    <w:rsid w:val="00CF3EB9"/>
    <w:rsid w:val="00D15AB0"/>
    <w:rsid w:val="00D37E1A"/>
    <w:rsid w:val="00D41C03"/>
    <w:rsid w:val="00D654C3"/>
    <w:rsid w:val="00D84032"/>
    <w:rsid w:val="00DC5971"/>
    <w:rsid w:val="00E04931"/>
    <w:rsid w:val="00E120A3"/>
    <w:rsid w:val="00E144B1"/>
    <w:rsid w:val="00E2009B"/>
    <w:rsid w:val="00E33D12"/>
    <w:rsid w:val="00E75436"/>
    <w:rsid w:val="00E81CBA"/>
    <w:rsid w:val="00E861BE"/>
    <w:rsid w:val="00E909A7"/>
    <w:rsid w:val="00EA22CD"/>
    <w:rsid w:val="00EA4541"/>
    <w:rsid w:val="00EA638B"/>
    <w:rsid w:val="00EB7206"/>
    <w:rsid w:val="00ED1E2C"/>
    <w:rsid w:val="00EE029B"/>
    <w:rsid w:val="00EE2828"/>
    <w:rsid w:val="00EE4F9C"/>
    <w:rsid w:val="00EF336E"/>
    <w:rsid w:val="00F15AF0"/>
    <w:rsid w:val="00F55FD8"/>
    <w:rsid w:val="00F70D3C"/>
    <w:rsid w:val="00F76E09"/>
    <w:rsid w:val="00F806EF"/>
    <w:rsid w:val="00F90D5D"/>
    <w:rsid w:val="00FB28AE"/>
    <w:rsid w:val="00FC66F7"/>
    <w:rsid w:val="7DE19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836CE"/>
  <w15:docId w15:val="{D7F4CBA6-B395-4B34-9470-A0AFFE1D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61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61BE"/>
  </w:style>
  <w:style w:type="paragraph" w:styleId="Piedepgina">
    <w:name w:val="footer"/>
    <w:basedOn w:val="Normal"/>
    <w:link w:val="PiedepginaCar"/>
    <w:uiPriority w:val="99"/>
    <w:unhideWhenUsed/>
    <w:rsid w:val="00E861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1BE"/>
  </w:style>
  <w:style w:type="paragraph" w:customStyle="1" w:styleId="paragraph">
    <w:name w:val="paragraph"/>
    <w:basedOn w:val="Normal"/>
    <w:rsid w:val="00EB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ormaltextrun">
    <w:name w:val="normaltextrun"/>
    <w:basedOn w:val="Fuentedeprrafopredeter"/>
    <w:rsid w:val="00EB7206"/>
  </w:style>
  <w:style w:type="character" w:customStyle="1" w:styleId="eop">
    <w:name w:val="eop"/>
    <w:basedOn w:val="Fuentedeprrafopredeter"/>
    <w:rsid w:val="00EB7206"/>
  </w:style>
  <w:style w:type="character" w:customStyle="1" w:styleId="contentcontrolboundarysink">
    <w:name w:val="contentcontrolboundarysink"/>
    <w:basedOn w:val="Fuentedeprrafopredeter"/>
    <w:rsid w:val="00EB7206"/>
  </w:style>
  <w:style w:type="character" w:styleId="Refdecomentario">
    <w:name w:val="annotation reference"/>
    <w:basedOn w:val="Fuentedeprrafopredeter"/>
    <w:uiPriority w:val="99"/>
    <w:semiHidden/>
    <w:unhideWhenUsed/>
    <w:rsid w:val="00EB72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B72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72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72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7206"/>
    <w:rPr>
      <w:b/>
      <w:bCs/>
      <w:sz w:val="20"/>
      <w:szCs w:val="20"/>
    </w:rPr>
  </w:style>
  <w:style w:type="character" w:customStyle="1" w:styleId="cf01">
    <w:name w:val="cf01"/>
    <w:basedOn w:val="Fuentedeprrafopredeter"/>
    <w:rsid w:val="00EB7206"/>
    <w:rPr>
      <w:rFonts w:ascii="Segoe UI" w:hAnsi="Segoe UI" w:cs="Segoe UI" w:hint="default"/>
      <w:sz w:val="18"/>
      <w:szCs w:val="18"/>
    </w:rPr>
  </w:style>
  <w:style w:type="paragraph" w:styleId="Prrafodelista">
    <w:name w:val="List Paragraph"/>
    <w:basedOn w:val="Normal"/>
    <w:uiPriority w:val="34"/>
    <w:qFormat/>
    <w:rsid w:val="00A512B4"/>
    <w:pPr>
      <w:ind w:left="720"/>
      <w:contextualSpacing/>
    </w:pPr>
  </w:style>
  <w:style w:type="paragraph" w:styleId="Sinespaciado">
    <w:name w:val="No Spacing"/>
    <w:uiPriority w:val="1"/>
    <w:qFormat/>
    <w:rsid w:val="00A8131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E33D1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33D1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6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update-components-actorname">
    <w:name w:val="update-components-actor__name"/>
    <w:basedOn w:val="Fuentedeprrafopredeter"/>
    <w:rsid w:val="006359F4"/>
  </w:style>
  <w:style w:type="character" w:customStyle="1" w:styleId="visually-hidden">
    <w:name w:val="visually-hidden"/>
    <w:basedOn w:val="Fuentedeprrafopredeter"/>
    <w:rsid w:val="006359F4"/>
  </w:style>
  <w:style w:type="character" w:customStyle="1" w:styleId="update-components-actordescription">
    <w:name w:val="update-components-actor__description"/>
    <w:basedOn w:val="Fuentedeprrafopredeter"/>
    <w:rsid w:val="006359F4"/>
  </w:style>
  <w:style w:type="character" w:customStyle="1" w:styleId="update-components-actorsub-description">
    <w:name w:val="update-components-actor__sub-description"/>
    <w:basedOn w:val="Fuentedeprrafopredeter"/>
    <w:rsid w:val="006359F4"/>
  </w:style>
  <w:style w:type="character" w:customStyle="1" w:styleId="break-words">
    <w:name w:val="break-words"/>
    <w:basedOn w:val="Fuentedeprrafopredeter"/>
    <w:rsid w:val="006359F4"/>
  </w:style>
  <w:style w:type="character" w:styleId="Hipervnculovisitado">
    <w:name w:val="FollowedHyperlink"/>
    <w:basedOn w:val="Fuentedeprrafopredeter"/>
    <w:uiPriority w:val="99"/>
    <w:semiHidden/>
    <w:unhideWhenUsed/>
    <w:rsid w:val="009412F5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BD5E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07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3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intel.c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ndicom.co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ndicom.co" TargetMode="External"/><Relationship Id="rId5" Type="http://schemas.openxmlformats.org/officeDocument/2006/relationships/styles" Target="styles.xml"/><Relationship Id="rId15" Type="http://schemas.openxmlformats.org/officeDocument/2006/relationships/hyperlink" Target="mailto:wguerrero@cintel.org.co" TargetMode="External"/><Relationship Id="rId10" Type="http://schemas.openxmlformats.org/officeDocument/2006/relationships/hyperlink" Target="https://www.pwc.com/co/es/nuestros-servicios/consultoria/tecnologia/acelerar-transformacion-digital/transformacion-digital.htm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frias@cintel.org.c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9225D5813247418FC537FB44FDB703" ma:contentTypeVersion="11" ma:contentTypeDescription="Crear nuevo documento." ma:contentTypeScope="" ma:versionID="8537e9ac48f9ec72c6b26003c67b2f2c">
  <xsd:schema xmlns:xsd="http://www.w3.org/2001/XMLSchema" xmlns:xs="http://www.w3.org/2001/XMLSchema" xmlns:p="http://schemas.microsoft.com/office/2006/metadata/properties" xmlns:ns2="35353803-0b70-42f2-bf9e-c06f487475bd" xmlns:ns3="5a1b99d2-7027-4725-9c36-87ee2ca11492" targetNamespace="http://schemas.microsoft.com/office/2006/metadata/properties" ma:root="true" ma:fieldsID="2329c506adb765c1ffaa24f82b3d9f40" ns2:_="" ns3:_="">
    <xsd:import namespace="35353803-0b70-42f2-bf9e-c06f487475bd"/>
    <xsd:import namespace="5a1b99d2-7027-4725-9c36-87ee2ca114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53803-0b70-42f2-bf9e-c06f48747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f670f561-4d65-46e9-bf92-f2748ae6b8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b99d2-7027-4725-9c36-87ee2ca1149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353803-0b70-42f2-bf9e-c06f487475b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0EE182-AB4E-4580-B789-2F265017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53803-0b70-42f2-bf9e-c06f487475bd"/>
    <ds:schemaRef ds:uri="5a1b99d2-7027-4725-9c36-87ee2ca11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D879B4-AA30-474B-A1EE-3E995A36D4B5}">
  <ds:schemaRefs>
    <ds:schemaRef ds:uri="http://schemas.microsoft.com/office/2006/metadata/properties"/>
    <ds:schemaRef ds:uri="http://schemas.microsoft.com/office/infopath/2007/PartnerControls"/>
    <ds:schemaRef ds:uri="35353803-0b70-42f2-bf9e-c06f487475bd"/>
  </ds:schemaRefs>
</ds:datastoreItem>
</file>

<file path=customXml/itemProps3.xml><?xml version="1.0" encoding="utf-8"?>
<ds:datastoreItem xmlns:ds="http://schemas.openxmlformats.org/officeDocument/2006/customXml" ds:itemID="{5C4FAD62-4A73-47D9-A5B5-2C7251D411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817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Galindo</dc:creator>
  <cp:keywords/>
  <dc:description/>
  <cp:lastModifiedBy>Amilde Frias</cp:lastModifiedBy>
  <cp:revision>6</cp:revision>
  <cp:lastPrinted>2023-02-28T19:01:00Z</cp:lastPrinted>
  <dcterms:created xsi:type="dcterms:W3CDTF">2023-05-23T20:55:00Z</dcterms:created>
  <dcterms:modified xsi:type="dcterms:W3CDTF">2023-05-24T14:43:00Z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0x010100D39225D5813247418FC537FB44FDB703</vt:lpwstr>
  </property>
  <property fmtid="{D5CDD505-2E9C-101B-9397-08002B2CF9AE}" pid="3" name="MediaServiceImageTags">
    <vt:lpwstr/>
  </property>
</Properties>
</file>